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Look w:val="04A0"/>
      </w:tblPr>
      <w:tblGrid>
        <w:gridCol w:w="636"/>
        <w:gridCol w:w="11805"/>
        <w:gridCol w:w="2886"/>
      </w:tblGrid>
      <w:tr w:rsidR="002A2EA2" w:rsidRPr="007844BA" w:rsidTr="001C6C35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EA2" w:rsidRPr="007844BA" w:rsidRDefault="002A2EA2" w:rsidP="00E57BD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21" w:rsidRDefault="00D06D21" w:rsidP="00D06D21">
            <w:pPr>
              <w:jc w:val="right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Anexa nr. 4</w:t>
            </w:r>
          </w:p>
          <w:p w:rsidR="00D06D21" w:rsidRDefault="00D06D21" w:rsidP="00D06D2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4C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  <w:r w:rsidRPr="001E4C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ontract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 de finanţare nerambursabilă nr. ……………../ …………</w:t>
            </w:r>
          </w:p>
          <w:p w:rsidR="00600123" w:rsidRDefault="00600123" w:rsidP="00D06D2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06D21" w:rsidRPr="00D06D21" w:rsidRDefault="00D06D21" w:rsidP="00D06D21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eastAsia="Arial" w:hAnsi="Arial" w:cs="Arial"/>
                <w:b/>
                <w:lang w:eastAsia="en-US"/>
              </w:rPr>
              <w:t xml:space="preserve">EXECUȚIA </w:t>
            </w:r>
            <w:r w:rsidRPr="00D06D21">
              <w:rPr>
                <w:rFonts w:ascii="Arial" w:eastAsia="Arial" w:hAnsi="Arial" w:cs="Arial"/>
                <w:b/>
                <w:lang w:eastAsia="en-US"/>
              </w:rPr>
              <w:t>BUGETUL</w:t>
            </w:r>
            <w:r>
              <w:rPr>
                <w:rFonts w:ascii="Arial" w:eastAsia="Arial" w:hAnsi="Arial" w:cs="Arial"/>
                <w:b/>
                <w:lang w:eastAsia="en-US"/>
              </w:rPr>
              <w:t>UI</w:t>
            </w:r>
            <w:r w:rsidRPr="00D06D21">
              <w:rPr>
                <w:rFonts w:ascii="Arial" w:eastAsia="Arial" w:hAnsi="Arial" w:cs="Arial"/>
                <w:b/>
                <w:lang w:eastAsia="en-US"/>
              </w:rPr>
              <w:t xml:space="preserve"> DE VENITURI ȘI CHELTUIELI</w:t>
            </w:r>
            <w:r w:rsidRPr="00D06D21">
              <w:rPr>
                <w:rFonts w:eastAsia="Arial" w:cs="Arial"/>
                <w:b/>
                <w:sz w:val="22"/>
                <w:vertAlign w:val="superscript"/>
                <w:lang w:val="en-US" w:eastAsia="en-US"/>
              </w:rPr>
              <w:footnoteReference w:id="1"/>
            </w:r>
            <w:r w:rsidRPr="00D06D21">
              <w:rPr>
                <w:rFonts w:ascii="Arial" w:eastAsia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06D21" w:rsidRPr="00D06D21" w:rsidRDefault="00D06D21" w:rsidP="00D06D21">
            <w:pPr>
              <w:numPr>
                <w:ilvl w:val="0"/>
                <w:numId w:val="2"/>
              </w:numPr>
              <w:rPr>
                <w:lang w:eastAsia="en-US"/>
              </w:rPr>
            </w:pPr>
            <w:r w:rsidRPr="00D06D21">
              <w:rPr>
                <w:rFonts w:ascii="Arial" w:eastAsia="Arial" w:hAnsi="Arial" w:cs="Arial"/>
                <w:b/>
                <w:lang w:eastAsia="en-US"/>
              </w:rPr>
              <w:t xml:space="preserve">Finanțarea proiectului </w:t>
            </w:r>
          </w:p>
          <w:tbl>
            <w:tblPr>
              <w:tblW w:w="1157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/>
            </w:tblPr>
            <w:tblGrid>
              <w:gridCol w:w="3998"/>
              <w:gridCol w:w="3330"/>
              <w:gridCol w:w="1784"/>
              <w:gridCol w:w="1653"/>
              <w:gridCol w:w="814"/>
            </w:tblGrid>
            <w:tr w:rsidR="007D69E8" w:rsidRPr="00D06D21" w:rsidTr="007D69E8">
              <w:trPr>
                <w:trHeight w:val="188"/>
                <w:tblHeader/>
              </w:trPr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jc w:val="center"/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>
                    <w:rPr>
                      <w:rFonts w:ascii="Arial" w:eastAsia="Arial" w:hAnsi="Arial" w:cs="Arial"/>
                      <w:b/>
                      <w:lang w:eastAsia="en-US"/>
                    </w:rPr>
                    <w:t>Surse de finanțare</w:t>
                  </w: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trike/>
                      <w:lang w:eastAsia="en-US"/>
                    </w:rPr>
                  </w:pP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jc w:val="center"/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>Autoritate publică finanțator/cofinanțator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*(conform disp. art 2. alin. (2), (3) din OG nr. 51/1998)</w:t>
                  </w: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>Număr/dată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cs="Times New Roman"/>
                      <w:b/>
                      <w:color w:val="FF0000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>Suma contractată</w:t>
                  </w: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</w:t>
                  </w:r>
                  <w:r w:rsidRPr="00D06D21">
                    <w:rPr>
                      <w:rFonts w:ascii="Arial" w:hAnsi="Arial" w:cs="Arial"/>
                      <w:b/>
                    </w:rPr>
                    <w:t>- lei -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7D69E8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>
                    <w:rPr>
                      <w:rFonts w:ascii="Arial" w:eastAsia="Arial" w:hAnsi="Arial" w:cs="Arial"/>
                      <w:b/>
                      <w:lang w:eastAsia="en-US"/>
                    </w:rPr>
                    <w:t>%</w:t>
                  </w:r>
                </w:p>
                <w:p w:rsidR="001C6C35" w:rsidRPr="001C6C35" w:rsidRDefault="001C6C35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</w:pPr>
                  <w:r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 xml:space="preserve">din </w:t>
                  </w:r>
                  <w:r w:rsidRPr="001C6C35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c</w:t>
                  </w:r>
                  <w:r w:rsidR="004F6F96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ostul total al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 xml:space="preserve"> proiectului</w:t>
                  </w:r>
                </w:p>
              </w:tc>
            </w:tr>
            <w:tr w:rsidR="007D69E8" w:rsidRPr="00D06D21" w:rsidTr="007D69E8">
              <w:trPr>
                <w:trHeight w:val="533"/>
              </w:trPr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9C0E6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</w:pPr>
                  <w:r w:rsidRPr="009C0E6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Contracte</w:t>
                  </w:r>
                  <w:r w:rsidRPr="009C0E61">
                    <w:rPr>
                      <w:rStyle w:val="FootnoteReference"/>
                      <w:rFonts w:eastAsia="Arial" w:cs="Arial"/>
                      <w:lang w:eastAsia="en-US"/>
                    </w:rPr>
                    <w:footnoteReference w:id="2"/>
                  </w:r>
                  <w:r w:rsidRPr="009C0E6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 xml:space="preserve"> de finanțare</w:t>
                  </w:r>
                </w:p>
                <w:p w:rsidR="007D69E8" w:rsidRPr="00D06D21" w:rsidRDefault="007D69E8" w:rsidP="007D69E8">
                  <w:pPr>
                    <w:jc w:val="center"/>
                    <w:rPr>
                      <w:rFonts w:ascii="Arial" w:eastAsia="Arial" w:hAnsi="Arial" w:cs="Arial"/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3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297"/>
              </w:trPr>
              <w:tc>
                <w:tcPr>
                  <w:tcW w:w="9156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Arial" w:eastAsia="Arial" w:hAnsi="Arial" w:cs="Arial"/>
                      <w:strike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Subtotal</w:t>
                  </w: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vertAlign w:val="superscript"/>
                      <w:lang w:eastAsia="en-US"/>
                    </w:rPr>
                    <w:t>1</w:t>
                  </w: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finanțări publice contractate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509"/>
              </w:trPr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Surse complementare de finanțare*</w:t>
                  </w:r>
                  <w:r w:rsidRPr="00D06D21">
                    <w:rPr>
                      <w:rFonts w:ascii="Arial" w:eastAsia="Arial" w:hAnsi="Arial" w:cs="Arial"/>
                      <w:b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(conform disp. art 2. alin. (1), lit. e) și alin. (7) din OG nr. 51/1998)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autoritate/număr/dată</w:t>
                  </w: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Suma </w:t>
                  </w: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observații</w:t>
                  </w: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precizări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248"/>
              </w:trPr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9C0E6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</w:pPr>
                  <w:r w:rsidRPr="009C0E6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Contracte de sponsorizare/ partreneriat/donație etc.</w:t>
                  </w:r>
                </w:p>
                <w:p w:rsidR="007D69E8" w:rsidRPr="009C0E6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lang w:eastAsia="en-US"/>
                    </w:rPr>
                  </w:pPr>
                  <w:r w:rsidRPr="009C0E61">
                    <w:rPr>
                      <w:rFonts w:ascii="Arial" w:eastAsia="Arial" w:hAnsi="Arial" w:cs="Arial"/>
                      <w:sz w:val="12"/>
                      <w:szCs w:val="12"/>
                      <w:lang w:eastAsia="en-US"/>
                    </w:rPr>
                    <w:t>(conform disp. art 2. alin. (7), lit. a) din OG nr. 51/1998)</w:t>
                  </w:r>
                </w:p>
              </w:tc>
              <w:tc>
                <w:tcPr>
                  <w:tcW w:w="33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248"/>
              </w:trPr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9C0E6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</w:pPr>
                  <w:r w:rsidRPr="009C0E6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Alte surse complementare atrase</w:t>
                  </w:r>
                </w:p>
                <w:p w:rsidR="007D69E8" w:rsidRPr="009C0E6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lang w:eastAsia="en-US"/>
                    </w:rPr>
                  </w:pPr>
                  <w:r w:rsidRPr="009C0E61">
                    <w:rPr>
                      <w:rFonts w:ascii="Arial" w:eastAsia="Arial" w:hAnsi="Arial" w:cs="Arial"/>
                      <w:sz w:val="12"/>
                      <w:szCs w:val="12"/>
                      <w:lang w:eastAsia="en-US"/>
                    </w:rPr>
                    <w:t>(conform disp. art 2. alin. (7), lit. b) – d) din OG nr. 51/1998)</w:t>
                  </w:r>
                </w:p>
              </w:tc>
              <w:tc>
                <w:tcPr>
                  <w:tcW w:w="33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(inclusiv cele prevăzute la art 2. alin. (2), lit. b) din Normele metodologice)</w:t>
                  </w: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Arial" w:eastAsia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311"/>
              </w:trPr>
              <w:tc>
                <w:tcPr>
                  <w:tcW w:w="9156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Subtotal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vertAlign w:val="superscript"/>
                      <w:lang w:eastAsia="en-US"/>
                    </w:rPr>
                    <w:t>2</w:t>
                  </w: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surse complementare</w:t>
                  </w:r>
                  <w:r w:rsidRPr="00D06D21">
                    <w:rPr>
                      <w:rFonts w:eastAsia="Arial" w:cs="Arial"/>
                      <w:sz w:val="27"/>
                      <w:szCs w:val="27"/>
                      <w:vertAlign w:val="superscript"/>
                      <w:lang w:val="en-US" w:eastAsia="en-US"/>
                    </w:rPr>
                    <w:footnoteReference w:id="3"/>
                  </w: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 xml:space="preserve"> de finanțare   </w:t>
                  </w:r>
                  <w:r w:rsidRPr="00D06D21">
                    <w:rPr>
                      <w:rFonts w:ascii="Arial" w:hAnsi="Arial" w:cs="Arial"/>
                      <w:sz w:val="20"/>
                      <w:szCs w:val="20"/>
                    </w:rPr>
                    <w:t>- lei -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349"/>
              </w:trPr>
              <w:tc>
                <w:tcPr>
                  <w:tcW w:w="9156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7D69E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lang w:eastAsia="en-US"/>
                    </w:rPr>
                    <w:t>Subtotal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vertAlign w:val="superscript"/>
                      <w:lang w:eastAsia="en-US"/>
                    </w:rPr>
                    <w:t>3</w:t>
                  </w:r>
                  <w:r w:rsidRPr="00D06D21">
                    <w:rPr>
                      <w:rFonts w:ascii="Arial" w:eastAsia="Arial" w:hAnsi="Arial" w:cs="Arial"/>
                      <w:sz w:val="20"/>
                      <w:szCs w:val="20"/>
                      <w:vertAlign w:val="superscript"/>
                      <w:lang w:eastAsia="en-US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 VALOARE FINANȚARE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 M</w:t>
                  </w: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>inisterul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 Culturii 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 xml:space="preserve"> (din </w:t>
                  </w:r>
                  <w:r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contractul de finanțare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)           </w:t>
                  </w:r>
                  <w:r w:rsidRPr="00D06D21">
                    <w:rPr>
                      <w:rFonts w:ascii="Arial" w:hAnsi="Arial" w:cs="Arial"/>
                      <w:sz w:val="16"/>
                      <w:szCs w:val="16"/>
                    </w:rPr>
                    <w:t>- lei –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lang w:eastAsia="en-US"/>
                    </w:rPr>
                    <w:t xml:space="preserve">                                                                                          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lang w:eastAsia="en-US"/>
                    </w:rPr>
                  </w:pPr>
                </w:p>
              </w:tc>
            </w:tr>
            <w:tr w:rsidR="007D69E8" w:rsidRPr="00D06D21" w:rsidTr="007D69E8">
              <w:trPr>
                <w:trHeight w:val="164"/>
              </w:trPr>
              <w:tc>
                <w:tcPr>
                  <w:tcW w:w="91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Total cumulat </w:t>
                  </w:r>
                  <w:r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venituri/finanțări surse </w:t>
                  </w: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>publice/private</w:t>
                  </w:r>
                  <w:r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 </w:t>
                  </w: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 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(</w:t>
                  </w:r>
                  <w:r w:rsidRPr="00D06D21">
                    <w:rPr>
                      <w:rFonts w:ascii="Arial" w:eastAsia="Arial" w:hAnsi="Arial" w:cs="Arial"/>
                      <w:b/>
                      <w:sz w:val="16"/>
                      <w:szCs w:val="16"/>
                      <w:lang w:eastAsia="en-US"/>
                    </w:rPr>
                    <w:t>Subtotal</w:t>
                  </w:r>
                  <w:r w:rsidRPr="00D06D21">
                    <w:rPr>
                      <w:rFonts w:ascii="Arial" w:eastAsia="Arial" w:hAnsi="Arial" w:cs="Arial"/>
                      <w:b/>
                      <w:sz w:val="20"/>
                      <w:szCs w:val="20"/>
                      <w:vertAlign w:val="superscript"/>
                      <w:lang w:eastAsia="en-US"/>
                    </w:rPr>
                    <w:t>1+2+3</w:t>
                  </w:r>
                  <w:r w:rsidRPr="00D06D21">
                    <w:rPr>
                      <w:rFonts w:ascii="Arial" w:eastAsia="Arial" w:hAnsi="Arial" w:cs="Arial"/>
                      <w:b/>
                      <w:sz w:val="12"/>
                      <w:szCs w:val="12"/>
                      <w:lang w:eastAsia="en-US"/>
                    </w:rPr>
                    <w:t>)</w:t>
                  </w: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                  </w:t>
                  </w:r>
                  <w:r w:rsidRPr="00D06D21">
                    <w:rPr>
                      <w:rFonts w:ascii="Arial" w:hAnsi="Arial" w:cs="Arial"/>
                      <w:sz w:val="22"/>
                    </w:rPr>
                    <w:t>- lei -</w:t>
                  </w:r>
                </w:p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veat" w:eastAsia="Caveat" w:hAnsi="Caveat" w:cs="Caveat"/>
                      <w:lang w:eastAsia="en-US"/>
                    </w:rPr>
                  </w:pP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9E8" w:rsidRPr="00D06D21" w:rsidRDefault="007D69E8" w:rsidP="00D06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veat" w:eastAsia="Caveat" w:hAnsi="Caveat" w:cs="Caveat"/>
                      <w:lang w:eastAsia="en-US"/>
                    </w:rPr>
                  </w:pPr>
                </w:p>
              </w:tc>
            </w:tr>
          </w:tbl>
          <w:p w:rsidR="00D06D21" w:rsidRPr="00D06D21" w:rsidRDefault="00D06D21" w:rsidP="00D06D21">
            <w:pPr>
              <w:widowControl/>
              <w:shd w:val="clear" w:color="auto" w:fill="FFFFFF"/>
              <w:suppressAutoHyphens w:val="0"/>
              <w:jc w:val="both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:rsidR="00D06D21" w:rsidRDefault="00D06D21" w:rsidP="00D06D21">
            <w:pPr>
              <w:ind w:left="720"/>
              <w:rPr>
                <w:lang w:eastAsia="en-US"/>
              </w:rPr>
            </w:pPr>
          </w:p>
          <w:p w:rsidR="007D69E8" w:rsidRPr="00D06D21" w:rsidRDefault="007D69E8" w:rsidP="00D06D21">
            <w:pPr>
              <w:ind w:left="720"/>
              <w:rPr>
                <w:lang w:eastAsia="en-US"/>
              </w:rPr>
            </w:pPr>
          </w:p>
          <w:p w:rsidR="00D06D21" w:rsidRPr="00D06D21" w:rsidRDefault="00D06D21" w:rsidP="00D06D21">
            <w:pPr>
              <w:numPr>
                <w:ilvl w:val="0"/>
                <w:numId w:val="2"/>
              </w:numPr>
              <w:rPr>
                <w:lang w:eastAsia="en-US"/>
              </w:rPr>
            </w:pPr>
            <w:r w:rsidRPr="00D06D21">
              <w:rPr>
                <w:rFonts w:ascii="Arial" w:eastAsia="Arial" w:hAnsi="Arial" w:cs="Arial"/>
                <w:b/>
                <w:sz w:val="22"/>
                <w:szCs w:val="22"/>
                <w:lang w:eastAsia="en-US"/>
              </w:rPr>
              <w:t xml:space="preserve">Costurile totale ale proiectului </w:t>
            </w:r>
          </w:p>
          <w:tbl>
            <w:tblPr>
              <w:tblW w:w="10490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/>
            </w:tblPr>
            <w:tblGrid>
              <w:gridCol w:w="6663"/>
              <w:gridCol w:w="3827"/>
            </w:tblGrid>
            <w:tr w:rsidR="00D06D21" w:rsidRPr="00D06D21" w:rsidTr="00E57BD7">
              <w:trPr>
                <w:trHeight w:val="176"/>
              </w:trPr>
              <w:tc>
                <w:tcPr>
                  <w:tcW w:w="6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06D21" w:rsidRPr="00D06D21" w:rsidRDefault="00D06D21" w:rsidP="001C6C35">
                  <w:pPr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>Valoarea total cumulată a cheltuieli</w:t>
                  </w:r>
                  <w:r w:rsidR="007D69E8" w:rsidRPr="007D69E8"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lor </w:t>
                  </w:r>
                  <w:r w:rsidRPr="00D06D21">
                    <w:rPr>
                      <w:rFonts w:ascii="Arial" w:eastAsia="Arial" w:hAnsi="Arial" w:cs="Arial"/>
                      <w:b/>
                      <w:lang w:eastAsia="en-US"/>
                    </w:rPr>
                    <w:t xml:space="preserve">          </w:t>
                  </w:r>
                  <w:r w:rsidRPr="00D06D21">
                    <w:rPr>
                      <w:rFonts w:ascii="Arial" w:hAnsi="Arial" w:cs="Arial"/>
                      <w:sz w:val="22"/>
                    </w:rPr>
                    <w:t xml:space="preserve">       - lei -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6D21" w:rsidRPr="00D06D21" w:rsidRDefault="00D06D21" w:rsidP="00D06D21">
                  <w:pPr>
                    <w:rPr>
                      <w:rFonts w:ascii="Arial" w:eastAsia="Arial" w:hAnsi="Arial" w:cs="Arial"/>
                      <w:b/>
                      <w:lang w:eastAsia="en-US"/>
                    </w:rPr>
                  </w:pPr>
                </w:p>
              </w:tc>
            </w:tr>
          </w:tbl>
          <w:p w:rsidR="002A2EA2" w:rsidRPr="007844BA" w:rsidRDefault="002A2EA2" w:rsidP="00E57BD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EA2" w:rsidRDefault="002A2EA2" w:rsidP="00E57BD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D06D21" w:rsidRDefault="00D06D21" w:rsidP="00E57BD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D06D21" w:rsidRPr="007844BA" w:rsidRDefault="00D06D21" w:rsidP="00E57BD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:rsidR="00C73430" w:rsidRDefault="00C73430"/>
    <w:p w:rsidR="001C6C35" w:rsidRPr="002D2991" w:rsidRDefault="001C6C35" w:rsidP="001C6C35">
      <w:pPr>
        <w:widowControl/>
        <w:ind w:left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Deviz </w:t>
      </w:r>
      <w:r w:rsidRPr="002D2991">
        <w:rPr>
          <w:rFonts w:ascii="Arial" w:eastAsia="Arial" w:hAnsi="Arial" w:cs="Arial"/>
          <w:b/>
        </w:rPr>
        <w:t>de cheltuieli</w:t>
      </w:r>
      <w:r>
        <w:rPr>
          <w:rStyle w:val="FootnoteReference"/>
          <w:rFonts w:eastAsia="Arial" w:cs="Arial"/>
          <w:b/>
        </w:rPr>
        <w:footnoteReference w:id="4"/>
      </w:r>
    </w:p>
    <w:p w:rsidR="001C6C35" w:rsidRPr="00283CBC" w:rsidRDefault="001C6C35" w:rsidP="001C6C35">
      <w:pPr>
        <w:widowControl/>
        <w:ind w:left="10620"/>
        <w:rPr>
          <w:rFonts w:ascii="Arial" w:eastAsia="Arial" w:hAnsi="Arial" w:cs="Arial"/>
          <w:sz w:val="12"/>
          <w:szCs w:val="12"/>
        </w:rPr>
      </w:pPr>
      <w:bookmarkStart w:id="13" w:name="do|caI|ar4|al1|lia"/>
      <w:bookmarkEnd w:id="13"/>
      <w:r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sz w:val="12"/>
          <w:szCs w:val="12"/>
        </w:rPr>
        <w:t>d</w:t>
      </w:r>
      <w:r w:rsidRPr="00D9189C">
        <w:rPr>
          <w:rFonts w:ascii="Arial" w:eastAsia="Arial" w:hAnsi="Arial" w:cs="Arial"/>
          <w:sz w:val="12"/>
          <w:szCs w:val="12"/>
        </w:rPr>
        <w:t>upă caz pot fi adăugate/scoase rânduri în tabel.</w:t>
      </w:r>
    </w:p>
    <w:tbl>
      <w:tblPr>
        <w:tblStyle w:val="TableGrid"/>
        <w:tblW w:w="14425" w:type="dxa"/>
        <w:tblLayout w:type="fixed"/>
        <w:tblLook w:val="04A0"/>
      </w:tblPr>
      <w:tblGrid>
        <w:gridCol w:w="517"/>
        <w:gridCol w:w="5120"/>
        <w:gridCol w:w="1559"/>
        <w:gridCol w:w="3402"/>
        <w:gridCol w:w="2126"/>
        <w:gridCol w:w="1701"/>
      </w:tblGrid>
      <w:tr w:rsidR="004F6F96" w:rsidTr="004F6F96">
        <w:trPr>
          <w:trHeight w:val="641"/>
        </w:trPr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crt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6F96" w:rsidRDefault="004F6F96" w:rsidP="00E57BD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Categorii de </w:t>
            </w:r>
            <w:r w:rsidRPr="00283CBC">
              <w:rPr>
                <w:rFonts w:ascii="Arial" w:eastAsia="Arial" w:hAnsi="Arial" w:cs="Arial"/>
                <w:b/>
                <w:sz w:val="16"/>
                <w:szCs w:val="16"/>
              </w:rPr>
              <w:t>cheltuieli</w:t>
            </w:r>
          </w:p>
        </w:tc>
        <w:tc>
          <w:tcPr>
            <w:tcW w:w="1559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6F96" w:rsidRPr="00283CBC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3CBC">
              <w:rPr>
                <w:rFonts w:ascii="Arial" w:eastAsia="Arial" w:hAnsi="Arial" w:cs="Arial"/>
                <w:b/>
                <w:sz w:val="16"/>
                <w:szCs w:val="16"/>
              </w:rPr>
              <w:t>Total cheltuieli</w:t>
            </w: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4F6F96" w:rsidRPr="00A44CD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Cheltuieli respinse la decont</w:t>
            </w: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4F6F96" w:rsidRDefault="004F6F96" w:rsidP="004F6F96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Cheltuieli decontate de Ministerul</w:t>
            </w:r>
            <w:r w:rsidRPr="00A44CD6">
              <w:rPr>
                <w:rFonts w:ascii="Arial" w:eastAsia="Arial" w:hAnsi="Arial" w:cs="Arial"/>
                <w:b/>
                <w:sz w:val="18"/>
                <w:szCs w:val="18"/>
              </w:rPr>
              <w:t xml:space="preserve"> Culturii</w:t>
            </w:r>
          </w:p>
        </w:tc>
        <w:tc>
          <w:tcPr>
            <w:tcW w:w="1701" w:type="dxa"/>
            <w:shd w:val="clear" w:color="auto" w:fill="EEECE1" w:themeFill="background2"/>
          </w:tcPr>
          <w:p w:rsidR="004F6F96" w:rsidRPr="00340C8C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</w:pPr>
            <w:r w:rsidRPr="00340C8C">
              <w:rPr>
                <w:rFonts w:ascii="Arial" w:eastAsia="Arial" w:hAnsi="Arial" w:cs="Arial"/>
                <w:b/>
                <w:sz w:val="12"/>
                <w:szCs w:val="12"/>
                <w:u w:val="single"/>
              </w:rPr>
              <w:t xml:space="preserve">% </w:t>
            </w:r>
          </w:p>
          <w:p w:rsidR="004F6F96" w:rsidRPr="004F6F96" w:rsidRDefault="004F6F96" w:rsidP="00E57BD7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c</w:t>
            </w:r>
            <w:r w:rsidRPr="004F6F96">
              <w:rPr>
                <w:rFonts w:ascii="Arial" w:eastAsia="Arial" w:hAnsi="Arial" w:cs="Arial"/>
                <w:b/>
                <w:sz w:val="12"/>
                <w:szCs w:val="12"/>
              </w:rPr>
              <w:t>heltuieli decontate de Ministerul Culturii</w:t>
            </w:r>
          </w:p>
          <w:p w:rsidR="004F6F96" w:rsidRDefault="004F6F96" w:rsidP="004F6F96">
            <w:pPr>
              <w:widowControl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 xml:space="preserve">din </w:t>
            </w:r>
            <w:r w:rsidRPr="001C6C35"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>c</w:t>
            </w:r>
            <w:r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>ostu</w:t>
            </w:r>
            <w:r w:rsidR="00340C8C"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>l</w:t>
            </w:r>
            <w:r w:rsidRPr="00D06D21">
              <w:rPr>
                <w:rFonts w:ascii="Arial" w:eastAsia="Arial" w:hAnsi="Arial" w:cs="Arial"/>
                <w:b/>
                <w:sz w:val="12"/>
                <w:szCs w:val="12"/>
                <w:lang w:eastAsia="en-US"/>
              </w:rPr>
              <w:t xml:space="preserve"> total al proiectului</w:t>
            </w: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-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559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126" w:type="dxa"/>
            <w:shd w:val="clear" w:color="auto" w:fill="EEECE1" w:themeFill="background2"/>
          </w:tcPr>
          <w:p w:rsidR="004F6F96" w:rsidRDefault="000325F6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1701" w:type="dxa"/>
            <w:shd w:val="clear" w:color="auto" w:fill="EEECE1" w:themeFill="background2"/>
          </w:tcPr>
          <w:p w:rsidR="004F6F96" w:rsidRDefault="000325F6" w:rsidP="00E57BD7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>
              <w:rPr>
                <w:rFonts w:ascii="Arial" w:hAnsi="Arial" w:cs="Arial"/>
                <w:szCs w:val="24"/>
              </w:rPr>
              <w:t xml:space="preserve">cheltuieli materiale directe: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consumabile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1.2.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auxiliare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1.3.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obiecte de inventar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Pr="0043591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 w:rsidRPr="001A5645">
              <w:rPr>
                <w:rFonts w:ascii="Arial" w:hAnsi="Arial" w:cs="Arial"/>
                <w:szCs w:val="24"/>
              </w:rPr>
              <w:t>cheltuieli</w:t>
            </w:r>
            <w:r w:rsidRPr="00F066DF">
              <w:rPr>
                <w:rFonts w:ascii="Arial" w:hAnsi="Arial" w:cs="Arial"/>
                <w:szCs w:val="24"/>
              </w:rPr>
              <w:t xml:space="preserve"> cu</w:t>
            </w:r>
            <w:r>
              <w:rPr>
                <w:rFonts w:ascii="Arial" w:hAnsi="Arial" w:cs="Arial"/>
                <w:szCs w:val="24"/>
              </w:rPr>
              <w:t xml:space="preserve"> servicii executate de terți: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închirieri de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6F96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spații pentru desfășurarea activi</w:t>
            </w:r>
            <w:r>
              <w:rPr>
                <w:rFonts w:ascii="Arial" w:hAnsi="Arial" w:cs="Arial"/>
                <w:sz w:val="18"/>
                <w:szCs w:val="18"/>
              </w:rPr>
              <w:t>tăților culturale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6F96" w:rsidRPr="008F3F9E" w:rsidRDefault="004F6F96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echipamente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2.2.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studii și cercetări, cheltuieli cu pregătirea personalului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2.3.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de protocol, comunicare și promovare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2.4.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cu transportul de bunuri și asigurările aferente,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consultanță de specialitate,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2.6.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realizarea de tipărituri,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2.7.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organizarea de evenimente,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2.8.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privind onorar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F3F9E">
              <w:rPr>
                <w:rFonts w:ascii="Arial" w:hAnsi="Arial" w:cs="Arial"/>
                <w:sz w:val="18"/>
                <w:szCs w:val="18"/>
              </w:rPr>
              <w:t>ile (</w:t>
            </w:r>
            <w:r w:rsidRPr="008F3F9E">
              <w:rPr>
                <w:rFonts w:ascii="Arial" w:hAnsi="Arial" w:cs="Arial"/>
                <w:i/>
                <w:sz w:val="18"/>
                <w:szCs w:val="18"/>
              </w:rPr>
              <w:t>drept de autor şi drepturi conexe în temeiul Legii nr. 8/1996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), inclusiv cu evaluarea bunurilor culturale,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2.9.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prestări de servicii (fără caracter de continuitate, </w:t>
            </w:r>
            <w:r>
              <w:rPr>
                <w:rFonts w:ascii="Arial" w:hAnsi="Arial" w:cs="Arial"/>
                <w:sz w:val="18"/>
                <w:szCs w:val="18"/>
              </w:rPr>
              <w:t xml:space="preserve">inclusiv </w:t>
            </w:r>
            <w:r w:rsidRPr="008F3F9E">
              <w:rPr>
                <w:rFonts w:ascii="Arial" w:hAnsi="Arial" w:cs="Arial"/>
                <w:sz w:val="18"/>
                <w:szCs w:val="18"/>
              </w:rPr>
              <w:t>taxă film-licență)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Subtotal </w:t>
            </w:r>
            <w:r>
              <w:rPr>
                <w:rFonts w:ascii="Arial" w:hAnsi="Arial" w:cs="Arial"/>
                <w:bCs/>
              </w:rPr>
              <w:t>cheltuieli cu premii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</w:t>
            </w:r>
            <w:r w:rsidRPr="00C37AB9">
              <w:rPr>
                <w:rFonts w:ascii="Arial" w:hAnsi="Arial" w:cs="Arial"/>
              </w:rPr>
              <w:t xml:space="preserve">cheltuieli </w:t>
            </w:r>
            <w:r w:rsidRPr="00F01000">
              <w:rPr>
                <w:rFonts w:ascii="Arial" w:hAnsi="Arial" w:cs="Arial"/>
                <w:bCs/>
              </w:rPr>
              <w:t>aferente personalului, participanților, invitaților sau beneficiarilor proiectului</w:t>
            </w:r>
            <w:r>
              <w:rPr>
                <w:rStyle w:val="FootnoteReference"/>
                <w:rFonts w:cs="Arial"/>
                <w:bCs/>
              </w:rPr>
              <w:footnoteReference w:id="5"/>
            </w:r>
            <w:r w:rsidRPr="00F01000">
              <w:rPr>
                <w:rFonts w:ascii="Arial" w:hAnsi="Arial" w:cs="Arial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cazarea</w:t>
            </w:r>
            <w:r>
              <w:rPr>
                <w:rStyle w:val="FootnoteReference"/>
                <w:rFonts w:cs="Arial"/>
                <w:bCs/>
              </w:rPr>
              <w:footnoteReference w:id="6"/>
            </w: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4.2.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4.3.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internațional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4.5.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8F3F9E" w:rsidRDefault="004F6F96" w:rsidP="00E57BD7">
            <w:pPr>
              <w:widowControl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masă</w:t>
            </w:r>
            <w:r>
              <w:rPr>
                <w:rStyle w:val="FootnoteReference"/>
                <w:rFonts w:cs="Arial"/>
                <w:bCs/>
              </w:rPr>
              <w:footnoteReference w:id="7"/>
            </w:r>
            <w:r>
              <w:rPr>
                <w:rFonts w:ascii="Arial" w:hAnsi="Arial" w:cs="Arial"/>
                <w:bCs/>
                <w:sz w:val="18"/>
                <w:szCs w:val="18"/>
              </w:rPr>
              <w:t>/diurnă</w:t>
            </w:r>
            <w:r>
              <w:rPr>
                <w:rStyle w:val="FootnoteReference"/>
                <w:rFonts w:cs="Arial"/>
                <w:bCs/>
              </w:rPr>
              <w:footnoteReference w:id="8"/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4.6.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>asigurări aferente, inclusiv taxele aferente cazării și/sau transportului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ED2671" w:rsidRDefault="004F6F96" w:rsidP="00E57BD7">
            <w:pPr>
              <w:jc w:val="both"/>
              <w:rPr>
                <w:rStyle w:val="tli"/>
                <w:rFonts w:ascii="Arial" w:hAnsi="Arial" w:cs="Arial"/>
                <w:bCs/>
                <w:shd w:val="clear" w:color="auto" w:fill="D3D3D3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alte cheltuieli cu personalul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9"/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>,</w:t>
            </w:r>
            <w:r w:rsidRPr="00ED2671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</w:t>
            </w:r>
          </w:p>
          <w:p w:rsidR="004F6F96" w:rsidRPr="00ED2671" w:rsidRDefault="004F6F96" w:rsidP="00E57BD7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contribuţii sociale obligatorii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5.2.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impozitul pe venit aferente salariilor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0C01C8">
              <w:rPr>
                <w:rFonts w:ascii="Arial" w:hAnsi="Arial" w:cs="Arial"/>
                <w:bCs/>
              </w:rPr>
              <w:t xml:space="preserve"> cheltui</w:t>
            </w:r>
            <w:r>
              <w:rPr>
                <w:rFonts w:ascii="Arial" w:hAnsi="Arial" w:cs="Arial"/>
                <w:bCs/>
              </w:rPr>
              <w:t>eli forfetare indirecte</w:t>
            </w:r>
            <w:r>
              <w:rPr>
                <w:rStyle w:val="FootnoteReference"/>
                <w:rFonts w:cs="Arial"/>
                <w:bCs/>
              </w:rPr>
              <w:footnoteReference w:id="10"/>
            </w:r>
            <w:r w:rsidRPr="000C01C8">
              <w:rPr>
                <w:rFonts w:ascii="Arial" w:hAnsi="Arial" w:cs="Arial"/>
                <w:bCs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6.1.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1000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 xml:space="preserve">chirii pentru spațiile în care își desfășoară activitatea beneficiarul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6.2.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1000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consumabile asociate cu managementul proiectului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6.3.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1000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costuri pentru comunicații telefonice sau internet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lastRenderedPageBreak/>
              <w:t>6.4.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1000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cheltuieli cu energia electrică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F066DF" w:rsidRDefault="004F6F96" w:rsidP="00E57BD7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alte cheltuieli</w:t>
            </w:r>
            <w:r>
              <w:rPr>
                <w:rStyle w:val="FootnoteReference"/>
                <w:rFonts w:cs="Arial"/>
              </w:rPr>
              <w:footnoteReference w:id="11"/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F77F94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7,1,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achiziţia de mijloace fixe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2"/>
            </w: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 utilizate exclusiv în scopul implementării proiectului</w:t>
            </w:r>
          </w:p>
        </w:tc>
        <w:tc>
          <w:tcPr>
            <w:tcW w:w="1559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Pr="00F77F94" w:rsidRDefault="004F6F96" w:rsidP="00E57BD7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7,2,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62218D" w:rsidRDefault="004F6F96" w:rsidP="00E57BD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lucrări care nu necesită autorizaţie de construire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3"/>
            </w:r>
          </w:p>
        </w:tc>
        <w:tc>
          <w:tcPr>
            <w:tcW w:w="1559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4F6F96" w:rsidTr="004F6F96">
        <w:tc>
          <w:tcPr>
            <w:tcW w:w="517" w:type="dxa"/>
            <w:shd w:val="clear" w:color="auto" w:fill="EEECE1" w:themeFill="background2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5120" w:type="dxa"/>
            <w:shd w:val="clear" w:color="auto" w:fill="EEECE1" w:themeFill="background2"/>
          </w:tcPr>
          <w:p w:rsidR="004F6F96" w:rsidRPr="00481368" w:rsidRDefault="004F6F96" w:rsidP="001C6C35">
            <w:pPr>
              <w:widowControl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Valoarea</w:t>
            </w:r>
            <w:r>
              <w:rPr>
                <w:rStyle w:val="FootnoteReference"/>
                <w:rFonts w:cs="Arial"/>
                <w:b/>
              </w:rPr>
              <w:footnoteReference w:id="14"/>
            </w:r>
            <w:r>
              <w:rPr>
                <w:rFonts w:ascii="Arial" w:hAnsi="Arial" w:cs="Arial"/>
                <w:b/>
              </w:rPr>
              <w:t xml:space="preserve"> </w:t>
            </w:r>
            <w:r w:rsidRPr="00481368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>Ă  efectuată</w:t>
            </w:r>
            <w:r>
              <w:rPr>
                <w:rStyle w:val="FootnoteReference"/>
                <w:rFonts w:cs="Arial"/>
                <w:b/>
              </w:rPr>
              <w:footnoteReference w:id="15"/>
            </w:r>
            <w:r w:rsidRPr="00481368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1559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3402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:rsidR="004F6F96" w:rsidRDefault="004F6F96" w:rsidP="00E57BD7">
            <w:pPr>
              <w:widowControl/>
              <w:rPr>
                <w:rFonts w:ascii="Arial" w:eastAsia="Arial" w:hAnsi="Arial" w:cs="Arial"/>
              </w:rPr>
            </w:pPr>
          </w:p>
        </w:tc>
      </w:tr>
    </w:tbl>
    <w:p w:rsidR="001C6C35" w:rsidRDefault="001C6C35"/>
    <w:p w:rsidR="004F6F96" w:rsidRDefault="004F6F96">
      <w:r>
        <w:t>Beneficiar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Finanțator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F6F96" w:rsidSect="002A2EA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928" w:rsidRDefault="00504928" w:rsidP="00D06D21">
      <w:r>
        <w:separator/>
      </w:r>
    </w:p>
  </w:endnote>
  <w:endnote w:type="continuationSeparator" w:id="0">
    <w:p w:rsidR="00504928" w:rsidRDefault="00504928" w:rsidP="00D06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ve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25147"/>
      <w:docPartObj>
        <w:docPartGallery w:val="Page Numbers (Bottom of Page)"/>
        <w:docPartUnique/>
      </w:docPartObj>
    </w:sdtPr>
    <w:sdtContent>
      <w:p w:rsidR="005F7116" w:rsidRDefault="005F7116">
        <w:pPr>
          <w:pStyle w:val="Footer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5F7116" w:rsidRDefault="005F71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928" w:rsidRDefault="00504928" w:rsidP="00D06D21">
      <w:r>
        <w:separator/>
      </w:r>
    </w:p>
  </w:footnote>
  <w:footnote w:type="continuationSeparator" w:id="0">
    <w:p w:rsidR="00504928" w:rsidRDefault="00504928" w:rsidP="00D06D21">
      <w:r>
        <w:continuationSeparator/>
      </w:r>
    </w:p>
  </w:footnote>
  <w:footnote w:id="1">
    <w:p w:rsidR="00D06D21" w:rsidRPr="00600123" w:rsidRDefault="00D06D21" w:rsidP="00D06D21">
      <w:pPr>
        <w:pStyle w:val="FootnoteText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sz w:val="16"/>
          <w:szCs w:val="16"/>
          <w:highlight w:val="lightGray"/>
        </w:rPr>
        <w:footnoteRef/>
      </w:r>
      <w:r w:rsidRPr="00600123">
        <w:rPr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color w:val="C00000"/>
          <w:sz w:val="16"/>
          <w:szCs w:val="16"/>
          <w:highlight w:val="lightGray"/>
        </w:rPr>
        <w:t xml:space="preserve">inclusiv la finanțări din </w:t>
      </w:r>
      <w:r w:rsidRPr="00600123">
        <w:rPr>
          <w:rFonts w:ascii="Arial" w:eastAsia="Arial" w:hAnsi="Arial" w:cs="Arial"/>
          <w:color w:val="C00000"/>
          <w:sz w:val="16"/>
          <w:szCs w:val="16"/>
          <w:highlight w:val="lightGray"/>
        </w:rPr>
        <w:t>fondul</w:t>
      </w:r>
      <w:r w:rsidRPr="00600123">
        <w:rPr>
          <w:rFonts w:ascii="Arial" w:eastAsia="Arial" w:hAnsi="Arial" w:cs="Arial"/>
          <w:b/>
          <w:color w:val="C00000"/>
          <w:sz w:val="16"/>
          <w:szCs w:val="16"/>
          <w:highlight w:val="lightGray"/>
        </w:rPr>
        <w:t xml:space="preserve">  ”Mobilitate 2023”</w:t>
      </w:r>
    </w:p>
  </w:footnote>
  <w:footnote w:id="2">
    <w:p w:rsidR="007D69E8" w:rsidRPr="00600123" w:rsidRDefault="007D69E8" w:rsidP="00D06D21">
      <w:pPr>
        <w:rPr>
          <w:rFonts w:ascii="Arial" w:eastAsia="Arial" w:hAnsi="Arial" w:cs="Arial"/>
          <w:b/>
          <w:sz w:val="16"/>
          <w:szCs w:val="16"/>
          <w:highlight w:val="lightGray"/>
          <w:lang w:eastAsia="en-US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eastAsia="Arial" w:hAnsi="Arial" w:cs="Arial"/>
          <w:sz w:val="16"/>
          <w:szCs w:val="16"/>
          <w:highlight w:val="lightGray"/>
          <w:lang w:eastAsia="en-US"/>
        </w:rPr>
        <w:t>se</w:t>
      </w:r>
      <w:r w:rsidRPr="00D06D21">
        <w:rPr>
          <w:rFonts w:ascii="Arial" w:eastAsia="Arial" w:hAnsi="Arial" w:cs="Arial"/>
          <w:sz w:val="16"/>
          <w:szCs w:val="16"/>
          <w:highlight w:val="lightGray"/>
          <w:lang w:eastAsia="en-US"/>
        </w:rPr>
        <w:t xml:space="preserve"> adaugă câte rânduri sunt necesare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  <w:lang w:eastAsia="en-US"/>
        </w:rPr>
        <w:t xml:space="preserve"> </w:t>
      </w:r>
    </w:p>
  </w:footnote>
  <w:footnote w:id="3">
    <w:p w:rsidR="007D69E8" w:rsidRPr="007D69E8" w:rsidRDefault="007D69E8" w:rsidP="00D06D21">
      <w:pPr>
        <w:pStyle w:val="FootnoteText"/>
        <w:rPr>
          <w:rFonts w:ascii="Arial" w:hAnsi="Arial" w:cs="Arial"/>
          <w:sz w:val="16"/>
          <w:szCs w:val="16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</w:rPr>
        <w:t xml:space="preserve">conform disp. art. 3 alin. (2) din Normele metodologice sursele complementare de finanţare, astfel cum sunt definite la art. 2 alin (7) din Ordonanţa Guvernului nr. 51/1998, cu modificările şi completările ulterioare, sursele complementare de finanțare trebuie să reprezinte 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  <w:u w:val="single"/>
        </w:rPr>
        <w:t xml:space="preserve">cel puțin </w:t>
      </w:r>
      <w:r w:rsidRPr="00600123">
        <w:rPr>
          <w:rFonts w:ascii="Arial" w:hAnsi="Arial" w:cs="Arial"/>
          <w:bCs/>
          <w:color w:val="000000"/>
          <w:sz w:val="16"/>
          <w:szCs w:val="16"/>
          <w:highlight w:val="lightGray"/>
          <w:u w:val="single"/>
        </w:rPr>
        <w:t>10%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  <w:u w:val="single"/>
        </w:rPr>
        <w:t xml:space="preserve"> din valoarea total cumulată a devizului </w:t>
      </w:r>
      <w:r w:rsidRPr="00600123">
        <w:rPr>
          <w:rFonts w:ascii="Arial" w:hAnsi="Arial" w:cs="Arial"/>
          <w:sz w:val="16"/>
          <w:szCs w:val="16"/>
          <w:highlight w:val="lightGray"/>
          <w:u w:val="single"/>
        </w:rPr>
        <w:t>proiectului</w:t>
      </w:r>
      <w:r w:rsidRPr="00600123">
        <w:rPr>
          <w:rFonts w:ascii="Arial" w:hAnsi="Arial" w:cs="Arial"/>
          <w:sz w:val="16"/>
          <w:szCs w:val="16"/>
          <w:highlight w:val="lightGray"/>
        </w:rPr>
        <w:t>.</w:t>
      </w:r>
      <w:r w:rsidRPr="007D69E8">
        <w:rPr>
          <w:rFonts w:ascii="Arial" w:hAnsi="Arial" w:cs="Arial"/>
          <w:b/>
          <w:sz w:val="16"/>
          <w:szCs w:val="16"/>
        </w:rPr>
        <w:t> </w:t>
      </w:r>
    </w:p>
  </w:footnote>
  <w:footnote w:id="4"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>Ac</w:t>
      </w:r>
      <w:r w:rsidRPr="00600123">
        <w:rPr>
          <w:rFonts w:ascii="Arial" w:eastAsia="Times New Roman" w:hAnsi="Arial" w:cs="Arial"/>
          <w:bCs/>
          <w:sz w:val="16"/>
          <w:szCs w:val="16"/>
          <w:highlight w:val="lightGray"/>
        </w:rPr>
        <w:t>operirea unor debite ale beneficiarilor sau cheltuieli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le </w:t>
      </w:r>
      <w:r w:rsidRPr="00600123">
        <w:rPr>
          <w:rFonts w:ascii="Arial" w:eastAsia="Times New Roman" w:hAnsi="Arial" w:cs="Arial"/>
          <w:bCs/>
          <w:sz w:val="16"/>
          <w:szCs w:val="16"/>
          <w:highlight w:val="lightGray"/>
        </w:rPr>
        <w:t xml:space="preserve"> salariale ale persoanelor juridice de drept public beneficiare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 este interzisă prin dispozițiile art. 4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 xml:space="preserve">alin. (4) din OG 51/1998 </w:t>
      </w:r>
      <w:r w:rsidRPr="00600123">
        <w:rPr>
          <w:rStyle w:val="t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 xml:space="preserve">și, potrivit  dispozițiilor alin. </w:t>
      </w:r>
      <w:r w:rsidRPr="00600123">
        <w:rPr>
          <w:rStyle w:val="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(8) ale aceluiași articol</w:t>
      </w:r>
      <w:r w:rsidRPr="00600123">
        <w:rPr>
          <w:rStyle w:val="t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, din finanţările nerambursabile nu pot fi acoperite următoarele categorii de cheltuieli, neeligibile: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0" w:name="do|caI|ar4|al8|lia"/>
      <w:bookmarkEnd w:id="0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a)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cheltuieli efectuate de solicitant anterior semnării contractului de finanţare;</w:t>
      </w:r>
    </w:p>
    <w:p w:rsidR="001C6C35" w:rsidRPr="00600123" w:rsidRDefault="001C6C35" w:rsidP="00600123">
      <w:pPr>
        <w:jc w:val="both"/>
        <w:rPr>
          <w:rFonts w:ascii="Arial" w:hAnsi="Arial" w:cs="Arial"/>
          <w:vanish/>
          <w:sz w:val="16"/>
          <w:szCs w:val="16"/>
          <w:highlight w:val="lightGray"/>
        </w:rPr>
      </w:pPr>
      <w:bookmarkStart w:id="1" w:name="do|caI|ar4|al8|lib:343"/>
      <w:bookmarkEnd w:id="1"/>
      <w:r w:rsidRPr="00600123">
        <w:rPr>
          <w:rStyle w:val="lia"/>
          <w:rFonts w:ascii="Arial" w:hAnsi="Arial" w:cs="Arial"/>
          <w:bCs/>
          <w:vanish/>
          <w:sz w:val="16"/>
          <w:szCs w:val="16"/>
          <w:highlight w:val="lightGray"/>
          <w:shd w:val="clear" w:color="auto" w:fill="D3D3D3"/>
        </w:rPr>
        <w:t>b)</w:t>
      </w:r>
      <w:r w:rsidRPr="00600123">
        <w:rPr>
          <w:rStyle w:val="tlia"/>
          <w:rFonts w:ascii="Arial" w:hAnsi="Arial" w:cs="Arial"/>
          <w:bCs/>
          <w:vanish/>
          <w:sz w:val="16"/>
          <w:szCs w:val="16"/>
          <w:highlight w:val="lightGray"/>
          <w:shd w:val="clear" w:color="auto" w:fill="D3D3D3"/>
        </w:rPr>
        <w:t>cheltuieli pentru contractarea creditelor necesare plăţii contribuţiei proprii, cheltuielile bancare, comisioanele, diferenţele de curs valutar;</w:t>
      </w:r>
    </w:p>
    <w:p w:rsidR="001C6C35" w:rsidRPr="00600123" w:rsidRDefault="001C6C35" w:rsidP="00600123">
      <w:pPr>
        <w:jc w:val="both"/>
        <w:rPr>
          <w:rFonts w:ascii="Arial" w:hAnsi="Arial" w:cs="Arial"/>
          <w:vanish/>
          <w:sz w:val="16"/>
          <w:szCs w:val="16"/>
          <w:highlight w:val="lightGray"/>
        </w:rPr>
      </w:pPr>
      <w:bookmarkStart w:id="2" w:name="do|caI|ar4|al8|lib"/>
      <w:bookmarkEnd w:id="2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b)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cheltuieli pentru contractarea creditelor aferente surselor complementare de finanţare, cheltuielile bancare, comisioanele, diferenţele de curs valutar;</w:t>
      </w:r>
      <w:r w:rsidRPr="00600123">
        <w:rPr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br/>
      </w:r>
      <w:bookmarkStart w:id="3" w:name="do|caI|ar4|al8|lic:344"/>
      <w:bookmarkEnd w:id="3"/>
      <w:r w:rsidRPr="00600123">
        <w:rPr>
          <w:rStyle w:val="lia"/>
          <w:rFonts w:ascii="Arial" w:hAnsi="Arial" w:cs="Arial"/>
          <w:bCs/>
          <w:vanish/>
          <w:sz w:val="16"/>
          <w:szCs w:val="16"/>
          <w:highlight w:val="lightGray"/>
          <w:shd w:val="clear" w:color="auto" w:fill="D3D3D3"/>
        </w:rPr>
        <w:t>c)</w:t>
      </w:r>
      <w:r w:rsidRPr="00600123">
        <w:rPr>
          <w:rStyle w:val="tlia"/>
          <w:rFonts w:ascii="Arial" w:hAnsi="Arial" w:cs="Arial"/>
          <w:bCs/>
          <w:vanish/>
          <w:sz w:val="16"/>
          <w:szCs w:val="16"/>
          <w:highlight w:val="lightGray"/>
          <w:shd w:val="clear" w:color="auto" w:fill="D3D3D3"/>
        </w:rPr>
        <w:t>taxa pe valoarea adăugată, precum şi orice alte taxe;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4" w:name="do|caI|ar4|al8|lic"/>
      <w:bookmarkEnd w:id="4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c)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 xml:space="preserve">taxa pe valoarea adăugată în cazul beneficiarilor plătitori de TVA, precum şi orice alte taxe,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D3D3D3"/>
        </w:rPr>
        <w:t>cu excepţia cheltuielilor aferente rd. 4 din deviz (4.1 – 4.6.)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;</w:t>
      </w:r>
      <w:r w:rsidRPr="00600123">
        <w:rPr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br/>
      </w:r>
      <w:bookmarkStart w:id="5" w:name="do|caI|ar4|al8|lid"/>
      <w:bookmarkEnd w:id="5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d)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dobânda şi alte comisioane aferente creditelor;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6" w:name="do|caI|ar4|al8|lie"/>
      <w:bookmarkEnd w:id="6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e)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achiziţia de echipamente secondhand;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7" w:name="do|caI|ar4|al8|lif"/>
      <w:bookmarkEnd w:id="7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f)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amenzi, penalităţi şi cheltuieli de judecată;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8" w:name="do|caI|ar4|al8|lig"/>
      <w:bookmarkEnd w:id="8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g)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costurile pentru operarea investiţiei;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9" w:name="do|caI|ar4|al8|lih"/>
      <w:bookmarkEnd w:id="9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h)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sumele rezultate din diferenţele de curs valutar;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10" w:name="do|caI|ar4|al8|lii"/>
      <w:bookmarkEnd w:id="10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i)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 xml:space="preserve">costuri de amortizare, cu excepţia amortizării </w:t>
      </w:r>
      <w:r w:rsidRPr="00600123">
        <w:rPr>
          <w:rStyle w:val="t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 xml:space="preserve">mijloacelor fixe achiziţionate care nu sunt utilizate exclusiv în scopul implementării proiectului – fiind aplicabile dispozițiile art. 4 alin. </w:t>
      </w:r>
      <w:r w:rsidRPr="00600123">
        <w:rPr>
          <w:rStyle w:val="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(2) ale O</w:t>
      </w:r>
      <w:r w:rsidRPr="00600123">
        <w:rPr>
          <w:rStyle w:val="t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rdonanţei Guvernului nr. 51/1998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;</w:t>
      </w:r>
    </w:p>
    <w:p w:rsidR="001C6C35" w:rsidRPr="00600123" w:rsidRDefault="001C6C35" w:rsidP="00600123">
      <w:pPr>
        <w:jc w:val="both"/>
        <w:rPr>
          <w:rFonts w:ascii="Arial" w:hAnsi="Arial" w:cs="Arial"/>
          <w:sz w:val="16"/>
          <w:szCs w:val="16"/>
          <w:highlight w:val="lightGray"/>
        </w:rPr>
      </w:pPr>
      <w:bookmarkStart w:id="11" w:name="do|caI|ar4|al8|lij"/>
      <w:bookmarkEnd w:id="11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j)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 xml:space="preserve">contribuţia în natură, cu excepţia activităţi de voluntariat, cuantificabile prin raportare la valoarea salariului de bază minim brut garantat în plată pentru fiecare contract de voluntariat, prevăzute la art. 2 alin. (7) lit. d) din </w:t>
      </w:r>
      <w:r w:rsidRPr="00600123">
        <w:rPr>
          <w:rStyle w:val="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O</w:t>
      </w:r>
      <w:r w:rsidRPr="00600123">
        <w:rPr>
          <w:rStyle w:val="tal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rdonanţa Guvernului nr. 51/1998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;</w:t>
      </w:r>
    </w:p>
    <w:p w:rsidR="001C6C35" w:rsidRPr="00600123" w:rsidRDefault="001C6C35" w:rsidP="00600123">
      <w:pPr>
        <w:jc w:val="both"/>
        <w:rPr>
          <w:rFonts w:ascii="Arial" w:hAnsi="Arial" w:cs="Arial"/>
          <w:bCs/>
          <w:sz w:val="16"/>
          <w:szCs w:val="16"/>
          <w:highlight w:val="lightGray"/>
          <w:shd w:val="clear" w:color="auto" w:fill="D3D3D3"/>
        </w:rPr>
      </w:pPr>
      <w:bookmarkStart w:id="12" w:name="do|caI|ar4|al8|lik"/>
      <w:bookmarkEnd w:id="12"/>
      <w:r w:rsidRPr="00600123">
        <w:rPr>
          <w:rStyle w:val="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k)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D3D3D3"/>
        </w:rPr>
        <w:t>cheltuieli de leasing.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.</w:t>
      </w:r>
    </w:p>
  </w:footnote>
  <w:footnote w:id="5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pe cale de excepție, este unica categorie de cheltuieli 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>eligibilă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în cadrul finanțărilor din Fondul de ”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 xml:space="preserve">Mobilitate 2023” 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al Ministerului Culturii -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7. alin. (4) din Normele metodologice</w:t>
      </w:r>
    </w:p>
  </w:footnote>
  <w:footnote w:id="6">
    <w:p w:rsidR="004F6F96" w:rsidRPr="00600123" w:rsidRDefault="004F6F96" w:rsidP="001C6C35">
      <w:pPr>
        <w:pStyle w:val="NormalWeb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highlight w:val="lightGray"/>
        </w:rPr>
      </w:pPr>
      <w:r w:rsidRPr="00600123">
        <w:rPr>
          <w:rStyle w:val="FootnoteReference"/>
          <w:sz w:val="16"/>
          <w:szCs w:val="16"/>
          <w:highlight w:val="lightGray"/>
        </w:rPr>
        <w:footnoteRef/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>după caz: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a) </w:t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>sub formă de indemnizaț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ie fixă - justificabilă, după caz, pe bază de tabel nominal sau ordin (individual de deplasare), dispoziție de </w:t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>plată, registru de casă, după caz -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</w:t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>potrivit normelor aplicabile salariaților din instituțiile/autoritățile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publice</w:t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 xml:space="preserve"> sau, 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b) pe bază </w:t>
      </w:r>
      <w:r w:rsidR="00F11C83">
        <w:rPr>
          <w:rFonts w:ascii="Arial" w:hAnsi="Arial" w:cs="Arial"/>
          <w:color w:val="222222"/>
          <w:sz w:val="16"/>
          <w:szCs w:val="16"/>
          <w:highlight w:val="lightGray"/>
        </w:rPr>
        <w:t>de servicii de cazare facturate;</w:t>
      </w:r>
      <w:r w:rsidR="00F11C83" w:rsidRPr="00600123">
        <w:rPr>
          <w:rFonts w:ascii="Arial" w:hAnsi="Arial" w:cs="Arial"/>
          <w:color w:val="222222"/>
          <w:sz w:val="16"/>
          <w:szCs w:val="16"/>
          <w:highlight w:val="lightGray"/>
        </w:rPr>
        <w:t xml:space="preserve"> achiziționate în condițiile legislației privind achizițiile publice</w:t>
      </w:r>
    </w:p>
  </w:footnote>
  <w:footnote w:id="7">
    <w:p w:rsidR="004F6F96" w:rsidRPr="00600123" w:rsidRDefault="004F6F96" w:rsidP="001C6C35">
      <w:pPr>
        <w:shd w:val="clear" w:color="auto" w:fill="FFFFFF" w:themeFill="background1"/>
        <w:jc w:val="both"/>
        <w:rPr>
          <w:rFonts w:ascii="Arial" w:hAnsi="Arial" w:cs="Arial"/>
          <w:iCs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la nivel de Secretar General, conform Anexei nr. 2 din Ordonanța Guvernului nr. 80/2001, </w:t>
      </w:r>
      <w:r w:rsidRPr="00600123">
        <w:rPr>
          <w:rFonts w:ascii="Arial" w:hAnsi="Arial" w:cs="Arial"/>
          <w:bCs/>
          <w:i/>
          <w:sz w:val="16"/>
          <w:szCs w:val="16"/>
          <w:highlight w:val="lightGray"/>
        </w:rPr>
        <w:t xml:space="preserve">privind stabilirea unor normative de cheltuieli pentru autoritățile administrației publice și instituțiile publice, cu modificările şi completările ulterioare </w:t>
      </w:r>
      <w:r w:rsidRPr="00600123">
        <w:rPr>
          <w:rFonts w:ascii="Arial" w:hAnsi="Arial" w:cs="Arial"/>
          <w:bCs/>
          <w:iCs/>
          <w:sz w:val="16"/>
          <w:szCs w:val="16"/>
          <w:highlight w:val="lightGray"/>
        </w:rPr>
        <w:t xml:space="preserve"> - pe baza facturii emise cu specificarea prețului unitar și a numărului de persoane</w:t>
      </w:r>
      <w:r w:rsidRPr="00600123">
        <w:rPr>
          <w:rFonts w:ascii="Arial" w:hAnsi="Arial" w:cs="Arial"/>
          <w:bCs/>
          <w:i/>
          <w:sz w:val="16"/>
          <w:szCs w:val="16"/>
          <w:highlight w:val="lightGray"/>
        </w:rPr>
        <w:t xml:space="preserve"> </w:t>
      </w:r>
    </w:p>
  </w:footnote>
  <w:footnote w:id="8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>pentru salariaţi - în condițiile prevăzute de legislaţia aplicabilă – idem nota nr 4 de mai sus</w:t>
      </w:r>
    </w:p>
  </w:footnote>
  <w:footnote w:id="9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  <w:shd w:val="clear" w:color="auto" w:fill="FFFFFF" w:themeFill="background1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  <w:shd w:val="clear" w:color="auto" w:fill="FFFFFF" w:themeFill="background1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procentul de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cel mult 20%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se aplică la totalul devizului estimativ.  În contractul de finanțare părțile vor prinde sumele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devizul estimativ refăcut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în condițiile art. 10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Normele metodologice,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procentul fiind aplicat la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 totalul finanţării nerambursabile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u w:val="single"/>
          <w:shd w:val="clear" w:color="auto" w:fill="FFFFFF" w:themeFill="background1"/>
        </w:rPr>
        <w:t>acordate</w:t>
      </w:r>
    </w:p>
  </w:footnote>
  <w:footnote w:id="10">
    <w:p w:rsidR="004F6F96" w:rsidRPr="0062218D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procentul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de </w:t>
      </w:r>
      <w:r w:rsidRPr="00600123">
        <w:rPr>
          <w:rFonts w:ascii="Arial" w:hAnsi="Arial" w:cs="Arial"/>
          <w:b/>
          <w:bCs/>
          <w:sz w:val="16"/>
          <w:szCs w:val="16"/>
          <w:highlight w:val="lightGray"/>
        </w:rPr>
        <w:t>cel mult 5%</w:t>
      </w:r>
      <w:r w:rsidRPr="00600123">
        <w:rPr>
          <w:rFonts w:ascii="Arial" w:hAnsi="Arial" w:cs="Arial"/>
          <w:bCs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se aplică la totalul devizului estimativ.  În contractul de finanțare părțile vor prinde sumele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>devizul estimativ refăcut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 xml:space="preserve"> în condițiile art. 10 din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Normele metodologice,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procentul fiind aplicat la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shd w:val="clear" w:color="auto" w:fill="FFFFFF" w:themeFill="background1"/>
        </w:rPr>
        <w:t xml:space="preserve"> totalul finanţării nerambursabile </w:t>
      </w:r>
      <w:r w:rsidRPr="00600123">
        <w:rPr>
          <w:rStyle w:val="tli"/>
          <w:rFonts w:ascii="Arial" w:hAnsi="Arial" w:cs="Arial"/>
          <w:b/>
          <w:bCs/>
          <w:sz w:val="16"/>
          <w:szCs w:val="16"/>
          <w:highlight w:val="lightGray"/>
          <w:u w:val="single"/>
          <w:shd w:val="clear" w:color="auto" w:fill="FFFFFF" w:themeFill="background1"/>
        </w:rPr>
        <w:t>acordate</w:t>
      </w:r>
    </w:p>
  </w:footnote>
  <w:footnote w:id="11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la finanțările nerambursabile acordate de Ministerul Culturii, conform 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7. alin. (2) din Normele metodologice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aceste cheltuieli sunt </w:t>
      </w:r>
      <w:r w:rsidRPr="00600123">
        <w:rPr>
          <w:rFonts w:ascii="Arial" w:hAnsi="Arial" w:cs="Arial"/>
          <w:b/>
          <w:sz w:val="16"/>
          <w:szCs w:val="16"/>
          <w:highlight w:val="lightGray"/>
        </w:rPr>
        <w:t xml:space="preserve"> neeligibile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</w:p>
  </w:footnote>
  <w:footnote w:id="12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în procent de cel mult 25% din totalul finanţării nerambursabile acordate</w:t>
      </w:r>
    </w:p>
  </w:footnote>
  <w:footnote w:id="13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</w:t>
      </w:r>
      <w:r w:rsidRPr="00600123">
        <w:rPr>
          <w:rStyle w:val="tli"/>
          <w:rFonts w:ascii="Arial" w:hAnsi="Arial" w:cs="Arial"/>
          <w:bCs/>
          <w:sz w:val="16"/>
          <w:szCs w:val="16"/>
          <w:highlight w:val="lightGray"/>
          <w:shd w:val="clear" w:color="auto" w:fill="FFFFFF" w:themeFill="background1"/>
        </w:rPr>
        <w:t>în procent de cel mult 10% din totalul finanţării nerambursabile acordate</w:t>
      </w:r>
    </w:p>
  </w:footnote>
  <w:footnote w:id="14">
    <w:p w:rsidR="004F6F96" w:rsidRPr="00600123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6"/>
          <w:szCs w:val="16"/>
          <w:highlight w:val="lightGray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conform </w:t>
      </w:r>
      <w:r w:rsidRPr="00600123">
        <w:rPr>
          <w:rFonts w:ascii="Arial" w:eastAsia="Arial" w:hAnsi="Arial" w:cs="Arial"/>
          <w:b/>
          <w:sz w:val="16"/>
          <w:szCs w:val="16"/>
          <w:highlight w:val="lightGray"/>
        </w:rPr>
        <w:t>art 3. alin. (2) din Normele metodologice,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cel 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</w:rPr>
        <w:t xml:space="preserve">puțin </w:t>
      </w:r>
      <w:r w:rsidRPr="00600123">
        <w:rPr>
          <w:rFonts w:ascii="Arial" w:hAnsi="Arial" w:cs="Arial"/>
          <w:b/>
          <w:bCs/>
          <w:color w:val="000000"/>
          <w:sz w:val="16"/>
          <w:szCs w:val="16"/>
          <w:highlight w:val="lightGray"/>
        </w:rPr>
        <w:t>10%</w:t>
      </w:r>
      <w:r w:rsidRPr="00600123">
        <w:rPr>
          <w:rFonts w:ascii="Arial" w:hAnsi="Arial" w:cs="Arial"/>
          <w:color w:val="000000"/>
          <w:sz w:val="16"/>
          <w:szCs w:val="16"/>
          <w:highlight w:val="lightGray"/>
        </w:rPr>
        <w:t xml:space="preserve"> din </w:t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valoarea total cumulată a devizului estimativ/refăcut de cheltuieli trebuie asigurat din surse complementare de finanțare, sumele respective urmând a fi justificate conform clauzelor contractului de finanțare. </w:t>
      </w:r>
    </w:p>
  </w:footnote>
  <w:footnote w:id="15">
    <w:p w:rsidR="004F6F96" w:rsidRPr="00A44CD6" w:rsidRDefault="004F6F96" w:rsidP="001C6C35">
      <w:pPr>
        <w:pStyle w:val="FootnoteText"/>
        <w:shd w:val="clear" w:color="auto" w:fill="FFFFFF" w:themeFill="background1"/>
        <w:rPr>
          <w:rFonts w:ascii="Arial" w:hAnsi="Arial" w:cs="Arial"/>
          <w:sz w:val="18"/>
          <w:szCs w:val="18"/>
        </w:rPr>
      </w:pPr>
      <w:r w:rsidRPr="00600123">
        <w:rPr>
          <w:rStyle w:val="FootnoteReference"/>
          <w:rFonts w:ascii="Arial" w:hAnsi="Arial" w:cs="Arial"/>
          <w:sz w:val="16"/>
          <w:szCs w:val="16"/>
          <w:highlight w:val="lightGray"/>
        </w:rPr>
        <w:footnoteRef/>
      </w:r>
      <w:r w:rsidRPr="00600123">
        <w:rPr>
          <w:rFonts w:ascii="Arial" w:hAnsi="Arial" w:cs="Arial"/>
          <w:sz w:val="16"/>
          <w:szCs w:val="16"/>
          <w:highlight w:val="lightGray"/>
        </w:rPr>
        <w:t xml:space="preserve"> Rd. 8 col. B = (subtotal 1+2+3+4+5+6+7). Rd. 8 col. C = suma răndurilor completate. Rd. 8 col. D și E = suma subtotalurilor completate în fiecare coloană.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80C2D"/>
    <w:multiLevelType w:val="hybridMultilevel"/>
    <w:tmpl w:val="29225F3E"/>
    <w:lvl w:ilvl="0" w:tplc="0456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00E11"/>
    <w:multiLevelType w:val="hybridMultilevel"/>
    <w:tmpl w:val="0E9CF6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EA2"/>
    <w:rsid w:val="000325F6"/>
    <w:rsid w:val="001B2712"/>
    <w:rsid w:val="001C6C35"/>
    <w:rsid w:val="002A2EA2"/>
    <w:rsid w:val="002D395A"/>
    <w:rsid w:val="00340C8C"/>
    <w:rsid w:val="003C6531"/>
    <w:rsid w:val="003F1937"/>
    <w:rsid w:val="00423B65"/>
    <w:rsid w:val="00426099"/>
    <w:rsid w:val="004F6F96"/>
    <w:rsid w:val="00504928"/>
    <w:rsid w:val="005F7116"/>
    <w:rsid w:val="00600123"/>
    <w:rsid w:val="007733BB"/>
    <w:rsid w:val="007D69E8"/>
    <w:rsid w:val="008134DE"/>
    <w:rsid w:val="00824661"/>
    <w:rsid w:val="009452AE"/>
    <w:rsid w:val="009C0E61"/>
    <w:rsid w:val="009E69ED"/>
    <w:rsid w:val="00A335C7"/>
    <w:rsid w:val="00B057CD"/>
    <w:rsid w:val="00C73430"/>
    <w:rsid w:val="00D06D21"/>
    <w:rsid w:val="00E13F2F"/>
    <w:rsid w:val="00E270E7"/>
    <w:rsid w:val="00F11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A2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06D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6D21"/>
    <w:rPr>
      <w:rFonts w:ascii="Times New Roman" w:eastAsia="Arial Unicode MS" w:hAnsi="Times New Roman" w:cs="Tahoma"/>
      <w:sz w:val="20"/>
      <w:szCs w:val="20"/>
      <w:lang w:eastAsia="ro-RO"/>
    </w:rPr>
  </w:style>
  <w:style w:type="character" w:styleId="FootnoteReference">
    <w:name w:val="footnote reference"/>
    <w:uiPriority w:val="99"/>
    <w:rsid w:val="00D06D21"/>
    <w:rPr>
      <w:rFonts w:ascii="Times New Roman" w:hAnsi="Times New Roman"/>
      <w:noProof w:val="0"/>
      <w:sz w:val="27"/>
      <w:szCs w:val="27"/>
      <w:vertAlign w:val="superscript"/>
      <w:lang w:val="en-US"/>
    </w:rPr>
  </w:style>
  <w:style w:type="character" w:customStyle="1" w:styleId="li">
    <w:name w:val="li"/>
    <w:basedOn w:val="DefaultParagraphFont"/>
    <w:rsid w:val="001C6C35"/>
  </w:style>
  <w:style w:type="character" w:customStyle="1" w:styleId="tli">
    <w:name w:val="tli"/>
    <w:basedOn w:val="DefaultParagraphFont"/>
    <w:rsid w:val="001C6C35"/>
  </w:style>
  <w:style w:type="character" w:customStyle="1" w:styleId="tal">
    <w:name w:val="tal"/>
    <w:basedOn w:val="DefaultParagraphFont"/>
    <w:rsid w:val="001C6C35"/>
  </w:style>
  <w:style w:type="character" w:customStyle="1" w:styleId="lia">
    <w:name w:val="li_a"/>
    <w:basedOn w:val="DefaultParagraphFont"/>
    <w:rsid w:val="001C6C35"/>
  </w:style>
  <w:style w:type="character" w:customStyle="1" w:styleId="tlia">
    <w:name w:val="tli_a"/>
    <w:basedOn w:val="DefaultParagraphFont"/>
    <w:rsid w:val="001C6C35"/>
  </w:style>
  <w:style w:type="paragraph" w:styleId="NormalWeb">
    <w:name w:val="Normal (Web)"/>
    <w:basedOn w:val="Normal"/>
    <w:uiPriority w:val="99"/>
    <w:unhideWhenUsed/>
    <w:rsid w:val="001C6C35"/>
    <w:pPr>
      <w:widowControl/>
      <w:suppressAutoHyphens w:val="0"/>
      <w:spacing w:before="100" w:beforeAutospacing="1" w:after="100" w:afterAutospacing="1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1C6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">
    <w:name w:val="al"/>
    <w:basedOn w:val="DefaultParagraphFont"/>
    <w:rsid w:val="001C6C35"/>
  </w:style>
  <w:style w:type="paragraph" w:styleId="Header">
    <w:name w:val="header"/>
    <w:basedOn w:val="Normal"/>
    <w:link w:val="HeaderChar"/>
    <w:uiPriority w:val="99"/>
    <w:semiHidden/>
    <w:unhideWhenUsed/>
    <w:rsid w:val="005F71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7116"/>
    <w:rPr>
      <w:rFonts w:ascii="Times New Roman" w:eastAsia="Arial Unicode MS" w:hAnsi="Times New Roman" w:cs="Tahoma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5F71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116"/>
    <w:rPr>
      <w:rFonts w:ascii="Times New Roman" w:eastAsia="Arial Unicode MS" w:hAnsi="Times New Roman" w:cs="Tahoma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E828B-EC5D-4232-A0BF-13DA1CD2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2023-02-10T09:25:00Z</cp:lastPrinted>
  <dcterms:created xsi:type="dcterms:W3CDTF">2023-02-10T09:02:00Z</dcterms:created>
  <dcterms:modified xsi:type="dcterms:W3CDTF">2023-02-10T09:25:00Z</dcterms:modified>
</cp:coreProperties>
</file>